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58" w:rsidRDefault="007C4958" w:rsidP="001E4FBE">
      <w:pPr>
        <w:rPr>
          <w:b/>
          <w:noProof w:val="0"/>
          <w:sz w:val="32"/>
          <w:szCs w:val="32"/>
        </w:rPr>
      </w:pPr>
    </w:p>
    <w:p w:rsidR="001E4FBE" w:rsidRDefault="00B33BCC" w:rsidP="001E4FBE">
      <w:pPr>
        <w:rPr>
          <w:b/>
          <w:noProof w:val="0"/>
          <w:sz w:val="32"/>
          <w:szCs w:val="32"/>
        </w:rPr>
      </w:pPr>
      <w:r w:rsidRPr="00B33BCC">
        <w:rPr>
          <w:b/>
          <w:noProof w:val="0"/>
          <w:sz w:val="32"/>
          <w:szCs w:val="32"/>
        </w:rPr>
        <w:t>Rondebriefje Raadsronde</w:t>
      </w:r>
    </w:p>
    <w:p w:rsidR="001E4FBE" w:rsidRDefault="001E4FBE" w:rsidP="001E4FBE">
      <w:pPr>
        <w:rPr>
          <w:b/>
          <w:noProof w:val="0"/>
        </w:rPr>
      </w:pPr>
    </w:p>
    <w:tbl>
      <w:tblPr>
        <w:tblW w:w="97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tblPr>
      <w:tblGrid>
        <w:gridCol w:w="2519"/>
        <w:gridCol w:w="7231"/>
      </w:tblGrid>
      <w:tr w:rsidR="001E4FBE" w:rsidTr="00C7604D">
        <w:tc>
          <w:tcPr>
            <w:tcW w:w="2519" w:type="dxa"/>
            <w:tcBorders>
              <w:top w:val="single" w:sz="4" w:space="0" w:color="auto"/>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t>Onderwerp</w:t>
            </w:r>
          </w:p>
        </w:tc>
        <w:tc>
          <w:tcPr>
            <w:tcW w:w="7231" w:type="dxa"/>
            <w:tcBorders>
              <w:top w:val="single" w:sz="4" w:space="0" w:color="auto"/>
              <w:left w:val="single" w:sz="4" w:space="0" w:color="auto"/>
              <w:bottom w:val="single" w:sz="4" w:space="0" w:color="auto"/>
              <w:right w:val="single" w:sz="4" w:space="0" w:color="auto"/>
            </w:tcBorders>
          </w:tcPr>
          <w:p w:rsidR="001E4FBE" w:rsidRPr="00200139" w:rsidRDefault="00ED1B4E" w:rsidP="00F26559">
            <w:pPr>
              <w:rPr>
                <w:rFonts w:eastAsia="Calibri"/>
                <w:noProof w:val="0"/>
                <w:lang w:eastAsia="en-US"/>
              </w:rPr>
            </w:pPr>
            <w:r>
              <w:rPr>
                <w:rFonts w:eastAsia="Calibri"/>
                <w:noProof w:val="0"/>
                <w:lang w:eastAsia="en-US"/>
              </w:rPr>
              <w:t>Actualiseren Integraal Accommodatiebeleid</w:t>
            </w:r>
          </w:p>
        </w:tc>
      </w:tr>
      <w:tr w:rsidR="001E4FBE" w:rsidTr="00C7604D">
        <w:tc>
          <w:tcPr>
            <w:tcW w:w="2519" w:type="dxa"/>
            <w:tcBorders>
              <w:top w:val="single" w:sz="4" w:space="0" w:color="auto"/>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t>Portefeuillehouder</w:t>
            </w:r>
          </w:p>
        </w:tc>
        <w:tc>
          <w:tcPr>
            <w:tcW w:w="7231" w:type="dxa"/>
            <w:tcBorders>
              <w:top w:val="single" w:sz="4" w:space="0" w:color="auto"/>
              <w:left w:val="single" w:sz="4" w:space="0" w:color="auto"/>
              <w:bottom w:val="single" w:sz="4" w:space="0" w:color="auto"/>
              <w:right w:val="single" w:sz="4" w:space="0" w:color="auto"/>
            </w:tcBorders>
          </w:tcPr>
          <w:p w:rsidR="001E4FBE" w:rsidRPr="00200139" w:rsidRDefault="00ED1B4E" w:rsidP="00F26559">
            <w:pPr>
              <w:rPr>
                <w:rFonts w:eastAsia="Calibri"/>
                <w:noProof w:val="0"/>
                <w:lang w:eastAsia="en-US"/>
              </w:rPr>
            </w:pPr>
            <w:r>
              <w:rPr>
                <w:rFonts w:eastAsia="Calibri"/>
                <w:noProof w:val="0"/>
                <w:lang w:eastAsia="en-US"/>
              </w:rPr>
              <w:t>Wethouder Van Grootheest</w:t>
            </w:r>
          </w:p>
        </w:tc>
      </w:tr>
      <w:tr w:rsidR="00E5676D" w:rsidTr="00C7604D">
        <w:tc>
          <w:tcPr>
            <w:tcW w:w="2519" w:type="dxa"/>
            <w:tcBorders>
              <w:top w:val="single" w:sz="4" w:space="0" w:color="auto"/>
              <w:left w:val="single" w:sz="4" w:space="0" w:color="auto"/>
              <w:bottom w:val="single" w:sz="4" w:space="0" w:color="auto"/>
              <w:right w:val="single" w:sz="4" w:space="0" w:color="auto"/>
            </w:tcBorders>
            <w:hideMark/>
          </w:tcPr>
          <w:p w:rsidR="00E5676D" w:rsidRPr="00200139" w:rsidRDefault="00E5676D" w:rsidP="00F26559">
            <w:pPr>
              <w:rPr>
                <w:rFonts w:eastAsia="Calibri"/>
                <w:noProof w:val="0"/>
                <w:lang w:eastAsia="en-US"/>
              </w:rPr>
            </w:pPr>
            <w:r w:rsidRPr="00200139">
              <w:rPr>
                <w:rFonts w:eastAsia="Calibri"/>
                <w:noProof w:val="0"/>
                <w:lang w:eastAsia="en-US"/>
              </w:rPr>
              <w:t>Programmanummer</w:t>
            </w:r>
          </w:p>
        </w:tc>
        <w:tc>
          <w:tcPr>
            <w:tcW w:w="7231" w:type="dxa"/>
            <w:tcBorders>
              <w:top w:val="single" w:sz="4" w:space="0" w:color="auto"/>
              <w:left w:val="single" w:sz="4" w:space="0" w:color="auto"/>
              <w:bottom w:val="single" w:sz="4" w:space="0" w:color="auto"/>
              <w:right w:val="single" w:sz="4" w:space="0" w:color="auto"/>
            </w:tcBorders>
          </w:tcPr>
          <w:p w:rsidR="00E5676D" w:rsidRPr="00200139" w:rsidRDefault="00ED1B4E" w:rsidP="00ED1B4E">
            <w:pPr>
              <w:rPr>
                <w:rFonts w:eastAsia="Calibri"/>
                <w:noProof w:val="0"/>
                <w:lang w:eastAsia="en-US"/>
              </w:rPr>
            </w:pPr>
            <w:r w:rsidRPr="009A65A8">
              <w:rPr>
                <w:noProof w:val="0"/>
              </w:rPr>
              <w:t>5/6 Samenleven</w:t>
            </w:r>
          </w:p>
        </w:tc>
      </w:tr>
      <w:tr w:rsidR="001E4FBE" w:rsidTr="00C7604D">
        <w:tc>
          <w:tcPr>
            <w:tcW w:w="2519" w:type="dxa"/>
            <w:tcBorders>
              <w:top w:val="single" w:sz="4" w:space="0" w:color="auto"/>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t>Behandelend ambtenaar</w:t>
            </w:r>
          </w:p>
        </w:tc>
        <w:tc>
          <w:tcPr>
            <w:tcW w:w="7231" w:type="dxa"/>
            <w:tcBorders>
              <w:top w:val="single" w:sz="4" w:space="0" w:color="auto"/>
              <w:left w:val="single" w:sz="4" w:space="0" w:color="auto"/>
              <w:bottom w:val="single" w:sz="4" w:space="0" w:color="auto"/>
              <w:right w:val="single" w:sz="4" w:space="0" w:color="auto"/>
            </w:tcBorders>
          </w:tcPr>
          <w:p w:rsidR="00F6408E" w:rsidRPr="00200139" w:rsidRDefault="00EE6D74" w:rsidP="00200139">
            <w:pPr>
              <w:spacing w:after="0"/>
              <w:rPr>
                <w:rFonts w:eastAsia="Calibri"/>
                <w:noProof w:val="0"/>
                <w:lang w:eastAsia="en-US"/>
              </w:rPr>
            </w:pPr>
            <w:r w:rsidRPr="00200139">
              <w:rPr>
                <w:rFonts w:eastAsia="Calibri"/>
                <w:noProof w:val="0"/>
                <w:lang w:eastAsia="en-US"/>
              </w:rPr>
              <w:t xml:space="preserve"> </w:t>
            </w:r>
            <w:r w:rsidR="00ED1B4E">
              <w:rPr>
                <w:rFonts w:eastAsia="Calibri"/>
                <w:noProof w:val="0"/>
                <w:lang w:eastAsia="en-US"/>
              </w:rPr>
              <w:t xml:space="preserve">In de Braek </w:t>
            </w:r>
          </w:p>
          <w:p w:rsidR="001E4FBE" w:rsidRPr="00200139" w:rsidRDefault="00ED1B4E" w:rsidP="00200139">
            <w:pPr>
              <w:spacing w:after="0"/>
              <w:rPr>
                <w:rFonts w:eastAsia="Calibri"/>
                <w:noProof w:val="0"/>
                <w:lang w:eastAsia="en-US"/>
              </w:rPr>
            </w:pPr>
            <w:r>
              <w:rPr>
                <w:rFonts w:eastAsia="Calibri"/>
                <w:noProof w:val="0"/>
                <w:lang w:eastAsia="en-US"/>
              </w:rPr>
              <w:t>Telefoonnummer: 06-</w:t>
            </w:r>
            <w:r w:rsidR="00AC13B2">
              <w:rPr>
                <w:rFonts w:eastAsia="Calibri"/>
                <w:noProof w:val="0"/>
                <w:lang w:eastAsia="en-US"/>
              </w:rPr>
              <w:t>46150851</w:t>
            </w:r>
          </w:p>
          <w:p w:rsidR="00F6408E" w:rsidRPr="00200139" w:rsidRDefault="00ED1B4E" w:rsidP="00200139">
            <w:pPr>
              <w:spacing w:after="0"/>
              <w:rPr>
                <w:rFonts w:eastAsia="Calibri"/>
                <w:noProof w:val="0"/>
                <w:lang w:eastAsia="en-US"/>
              </w:rPr>
            </w:pPr>
            <w:r>
              <w:rPr>
                <w:rFonts w:eastAsia="Calibri"/>
                <w:noProof w:val="0"/>
                <w:lang w:eastAsia="en-US"/>
              </w:rPr>
              <w:t>ghislaine.in.de.braek@maastricht.nl</w:t>
            </w:r>
          </w:p>
        </w:tc>
      </w:tr>
      <w:tr w:rsidR="004A6F3B" w:rsidTr="00C7604D">
        <w:trPr>
          <w:trHeight w:val="220"/>
        </w:trPr>
        <w:tc>
          <w:tcPr>
            <w:tcW w:w="2519" w:type="dxa"/>
            <w:tcBorders>
              <w:top w:val="single" w:sz="4" w:space="0" w:color="auto"/>
              <w:left w:val="single" w:sz="4" w:space="0" w:color="auto"/>
              <w:bottom w:val="single" w:sz="4" w:space="0" w:color="auto"/>
              <w:right w:val="single" w:sz="4" w:space="0" w:color="auto"/>
            </w:tcBorders>
          </w:tcPr>
          <w:p w:rsidR="004A6F3B" w:rsidRPr="00200139" w:rsidRDefault="004A6F3B" w:rsidP="00F26559">
            <w:pPr>
              <w:rPr>
                <w:noProof w:val="0"/>
                <w:lang w:eastAsia="en-US"/>
              </w:rPr>
            </w:pPr>
            <w:r w:rsidRPr="00200139">
              <w:rPr>
                <w:noProof w:val="0"/>
                <w:lang w:eastAsia="en-US"/>
              </w:rPr>
              <w:t>Doel van de bijeenkomst</w:t>
            </w:r>
          </w:p>
        </w:tc>
        <w:tc>
          <w:tcPr>
            <w:tcW w:w="7231" w:type="dxa"/>
            <w:tcBorders>
              <w:top w:val="single" w:sz="4" w:space="0" w:color="auto"/>
              <w:left w:val="single" w:sz="4" w:space="0" w:color="auto"/>
              <w:bottom w:val="single" w:sz="4" w:space="0" w:color="auto"/>
              <w:right w:val="single" w:sz="4" w:space="0" w:color="auto"/>
            </w:tcBorders>
          </w:tcPr>
          <w:p w:rsidR="004A6F3B" w:rsidRPr="00200139" w:rsidRDefault="00ED1B4E" w:rsidP="00F26559">
            <w:pPr>
              <w:rPr>
                <w:noProof w:val="0"/>
              </w:rPr>
            </w:pPr>
            <w:r>
              <w:rPr>
                <w:noProof w:val="0"/>
              </w:rPr>
              <w:t>Voorbereidend op besluitvo</w:t>
            </w:r>
            <w:r w:rsidR="00717C83">
              <w:rPr>
                <w:noProof w:val="0"/>
              </w:rPr>
              <w:t>r</w:t>
            </w:r>
            <w:r>
              <w:rPr>
                <w:noProof w:val="0"/>
              </w:rPr>
              <w:t>ming</w:t>
            </w:r>
          </w:p>
        </w:tc>
      </w:tr>
      <w:tr w:rsidR="001E4FBE" w:rsidTr="00C7604D">
        <w:tc>
          <w:tcPr>
            <w:tcW w:w="2519" w:type="dxa"/>
            <w:tcBorders>
              <w:top w:val="single" w:sz="4" w:space="0" w:color="auto"/>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t xml:space="preserve">Wie neemt uiteindelijk het besluit? </w:t>
            </w:r>
          </w:p>
        </w:tc>
        <w:tc>
          <w:tcPr>
            <w:tcW w:w="7231" w:type="dxa"/>
            <w:tcBorders>
              <w:top w:val="single" w:sz="4" w:space="0" w:color="auto"/>
              <w:left w:val="single" w:sz="4" w:space="0" w:color="auto"/>
              <w:bottom w:val="single" w:sz="4" w:space="0" w:color="auto"/>
              <w:right w:val="single" w:sz="4" w:space="0" w:color="auto"/>
            </w:tcBorders>
          </w:tcPr>
          <w:p w:rsidR="001E4FBE" w:rsidRPr="00200139" w:rsidRDefault="00ED1B4E" w:rsidP="00F26559">
            <w:pPr>
              <w:rPr>
                <w:noProof w:val="0"/>
              </w:rPr>
            </w:pPr>
            <w:r>
              <w:rPr>
                <w:noProof w:val="0"/>
              </w:rPr>
              <w:t>De Raad</w:t>
            </w:r>
          </w:p>
        </w:tc>
      </w:tr>
      <w:tr w:rsidR="000A6C02" w:rsidTr="00C7604D">
        <w:tc>
          <w:tcPr>
            <w:tcW w:w="2519" w:type="dxa"/>
            <w:tcBorders>
              <w:top w:val="single" w:sz="4" w:space="0" w:color="auto"/>
              <w:left w:val="single" w:sz="4" w:space="0" w:color="auto"/>
              <w:bottom w:val="single" w:sz="4" w:space="0" w:color="auto"/>
              <w:right w:val="single" w:sz="4" w:space="0" w:color="auto"/>
            </w:tcBorders>
          </w:tcPr>
          <w:p w:rsidR="000A6C02" w:rsidRPr="00200139" w:rsidRDefault="000A6C02" w:rsidP="00F26559">
            <w:pPr>
              <w:rPr>
                <w:rFonts w:eastAsia="Calibri"/>
                <w:noProof w:val="0"/>
                <w:lang w:eastAsia="en-US"/>
              </w:rPr>
            </w:pPr>
            <w:r w:rsidRPr="00200139">
              <w:rPr>
                <w:rFonts w:eastAsia="Calibri"/>
                <w:noProof w:val="0"/>
                <w:lang w:eastAsia="en-US"/>
              </w:rPr>
              <w:t>Verloop voorgaande proces</w:t>
            </w:r>
          </w:p>
        </w:tc>
        <w:tc>
          <w:tcPr>
            <w:tcW w:w="7231" w:type="dxa"/>
            <w:tcBorders>
              <w:top w:val="single" w:sz="4" w:space="0" w:color="auto"/>
              <w:left w:val="single" w:sz="4" w:space="0" w:color="auto"/>
              <w:bottom w:val="single" w:sz="4" w:space="0" w:color="auto"/>
              <w:right w:val="single" w:sz="4" w:space="0" w:color="auto"/>
            </w:tcBorders>
          </w:tcPr>
          <w:p w:rsidR="00ED1B4E" w:rsidRDefault="00ED1B4E" w:rsidP="00ED1B4E">
            <w:pPr>
              <w:rPr>
                <w:noProof w:val="0"/>
              </w:rPr>
            </w:pPr>
            <w:r>
              <w:rPr>
                <w:noProof w:val="0"/>
              </w:rPr>
              <w:t xml:space="preserve">Sinds medio 2015 wordt het Leertraject Dialoogproces Gemeenschapsvoorzieningen doorlopen. Onderdeel hiervan is het actualiseren van het Integraal Accommodatiebeleid (IAB). In het kader hiervan hebben diverse bijeenkomsten plaatsgevonden (seminars ambtenaren, raadsleden, portefeuillehouders(s), bijeenkomst </w:t>
            </w:r>
            <w:proofErr w:type="spellStart"/>
            <w:r>
              <w:rPr>
                <w:noProof w:val="0"/>
              </w:rPr>
              <w:t>stakeholders</w:t>
            </w:r>
            <w:proofErr w:type="spellEnd"/>
            <w:r>
              <w:rPr>
                <w:noProof w:val="0"/>
              </w:rPr>
              <w:t xml:space="preserve">). Tijdens de stadsronde van 5 april 2016 zijn de uitgangspunten (die opgesteld zijn naar aanleiding van alle bijeenkomsten) met de stad besproken. Ook zijn er twee </w:t>
            </w:r>
            <w:proofErr w:type="spellStart"/>
            <w:r>
              <w:rPr>
                <w:noProof w:val="0"/>
              </w:rPr>
              <w:t>pilots</w:t>
            </w:r>
            <w:proofErr w:type="spellEnd"/>
            <w:r>
              <w:rPr>
                <w:noProof w:val="0"/>
              </w:rPr>
              <w:t xml:space="preserve"> (voor zowel het Integraal Accommodatiebeleid als het beleidsdocument gemeenschapsvoorzieningen) doorlopen in Heer en Daalhof. Na 5 april is besloten om ook de uitkomst van deze </w:t>
            </w:r>
            <w:proofErr w:type="spellStart"/>
            <w:r>
              <w:rPr>
                <w:noProof w:val="0"/>
              </w:rPr>
              <w:t>pilots</w:t>
            </w:r>
            <w:proofErr w:type="spellEnd"/>
            <w:r>
              <w:rPr>
                <w:noProof w:val="0"/>
              </w:rPr>
              <w:t xml:space="preserve"> met betrekking tot het accommodatiebeleid af te wachten voor het actualiseren van het IAB. Afgesproken werd dat er een terugkoppeling zou worden gegeven van de resultaten van de </w:t>
            </w:r>
            <w:proofErr w:type="spellStart"/>
            <w:r>
              <w:rPr>
                <w:noProof w:val="0"/>
              </w:rPr>
              <w:t>pilots</w:t>
            </w:r>
            <w:proofErr w:type="spellEnd"/>
            <w:r>
              <w:rPr>
                <w:noProof w:val="0"/>
              </w:rPr>
              <w:t xml:space="preserve"> met betrekking tot het Integraal Accommodatiebeleid. Dit is gebeurd in de stadsronde van 13 december 2016. Toen was de vraag: heeft een nieuw Integraal Accommodatiebeleid toegevoegde waarde? Dit, gezien het feit dat er al vele beleidsstukken op het gebied van accommodaties zijn opgesteld (bv. sport, onderwijs en cultuur). Wel bleken er nog onduidelijkheden te zijn over de gemeenschapsvoorzieningen. Momenteel loopt een proces waarin gekeken wordt (samen met </w:t>
            </w:r>
            <w:proofErr w:type="spellStart"/>
            <w:r>
              <w:rPr>
                <w:noProof w:val="0"/>
              </w:rPr>
              <w:t>stakeholders</w:t>
            </w:r>
            <w:proofErr w:type="spellEnd"/>
            <w:r>
              <w:rPr>
                <w:noProof w:val="0"/>
              </w:rPr>
              <w:t xml:space="preserve">) hoe eventueel beleid voor de gemeenschapsvoorzieningen eruit zou moeten zien. </w:t>
            </w:r>
          </w:p>
          <w:p w:rsidR="000A6C02" w:rsidRPr="00200139" w:rsidRDefault="00ED1B4E" w:rsidP="00F26559">
            <w:pPr>
              <w:rPr>
                <w:noProof w:val="0"/>
              </w:rPr>
            </w:pPr>
            <w:r>
              <w:rPr>
                <w:noProof w:val="0"/>
              </w:rPr>
              <w:t xml:space="preserve">Naar aanleiding van de vergadering van het presidium d.d. 14 maart 2017 is besloten niet nog een stadsronde te houden, aangezien er al een aantal stadsrondes over hetzelfde onderwerp zijn gehouden. Redengevend hiervoor is dat de inhoud summier is en dat de punten waar burgers in eerdere rondes veel belangstelling voor hadden buiten de scope vallen en separaat worden behandeld (gemeenschapsvoorzieningen). Er waren wel vragen over de uitvoering van ruimtevragen van burgers. In het raadsvoorstel (en bijhorende notitie) is voorzien in duidelijkheid over deze uitvoering. Gezien het voorgaande en het feit dat er geen ingrijpend nieuw beleid wordt gemaakt (oud beleid wordt ingetrokken en een paar punten worden herbevestigd) is er ook geen aanleiding om nog een informatieronde voor raadsleden te houden. </w:t>
            </w:r>
          </w:p>
        </w:tc>
      </w:tr>
      <w:tr w:rsidR="001E4FBE" w:rsidTr="000B71EA">
        <w:tc>
          <w:tcPr>
            <w:tcW w:w="2519" w:type="dxa"/>
            <w:tcBorders>
              <w:top w:val="single" w:sz="4" w:space="0" w:color="auto"/>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t xml:space="preserve">Inhoud </w:t>
            </w:r>
          </w:p>
        </w:tc>
        <w:tc>
          <w:tcPr>
            <w:tcW w:w="7231" w:type="dxa"/>
            <w:tcBorders>
              <w:top w:val="single" w:sz="4" w:space="0" w:color="auto"/>
              <w:left w:val="single" w:sz="4" w:space="0" w:color="auto"/>
              <w:bottom w:val="single" w:sz="4" w:space="0" w:color="auto"/>
              <w:right w:val="single" w:sz="4" w:space="0" w:color="auto"/>
            </w:tcBorders>
          </w:tcPr>
          <w:p w:rsidR="00ED1B4E" w:rsidRDefault="00ED1B4E" w:rsidP="00ED1B4E">
            <w:pPr>
              <w:rPr>
                <w:rFonts w:eastAsia="Calibri"/>
                <w:noProof w:val="0"/>
                <w:lang w:eastAsia="en-US"/>
              </w:rPr>
            </w:pPr>
            <w:r>
              <w:rPr>
                <w:rFonts w:eastAsia="Calibri"/>
                <w:noProof w:val="0"/>
                <w:lang w:eastAsia="en-US"/>
              </w:rPr>
              <w:t xml:space="preserve">In het bestuursakkoord Wij Maastricht! is afgesproken integraal accommodatiebeleid te voeren. Deze ambitie is uitgewerkt in een Beleidsagenda maatschappelijk vastgoed (november 2014). Hoofddoel is regie te voeren en te komen tot een betere aansluiting van vraag en aanbod van maatschappelijk vastgoed. In het proces bekijken we (dialoogproces) of het huidige beleidskader (het Integraal Accommodatiebeleid 2005) nog actueel is. </w:t>
            </w:r>
            <w:r>
              <w:rPr>
                <w:rFonts w:eastAsia="Calibri"/>
                <w:noProof w:val="0"/>
                <w:lang w:eastAsia="en-US"/>
              </w:rPr>
              <w:lastRenderedPageBreak/>
              <w:t xml:space="preserve">De Raad is aan zet om te concluderen of aanpassing van dit kader gewenst is. In de stadsrondes van 5 april 2016 en van 13 december 2016 is op interactieve wijze gekeken naar hoe het Integraal Accommodatiebeleid anno 2017 uit zou moeten zien en is een terugkoppeling gegeven van de resultaten van de </w:t>
            </w:r>
            <w:proofErr w:type="spellStart"/>
            <w:r>
              <w:rPr>
                <w:rFonts w:eastAsia="Calibri"/>
                <w:noProof w:val="0"/>
                <w:lang w:eastAsia="en-US"/>
              </w:rPr>
              <w:t>pilots</w:t>
            </w:r>
            <w:proofErr w:type="spellEnd"/>
            <w:r>
              <w:rPr>
                <w:rFonts w:eastAsia="Calibri"/>
                <w:noProof w:val="0"/>
                <w:lang w:eastAsia="en-US"/>
              </w:rPr>
              <w:t xml:space="preserve"> in Heer en Daalhof.</w:t>
            </w:r>
          </w:p>
          <w:p w:rsidR="001E4FBE" w:rsidRPr="00200139" w:rsidRDefault="00ED1B4E" w:rsidP="00F26559">
            <w:pPr>
              <w:rPr>
                <w:rFonts w:eastAsia="Calibri"/>
                <w:noProof w:val="0"/>
                <w:lang w:eastAsia="en-US"/>
              </w:rPr>
            </w:pPr>
            <w:r>
              <w:rPr>
                <w:rFonts w:eastAsia="Calibri"/>
                <w:noProof w:val="0"/>
                <w:lang w:eastAsia="en-US"/>
              </w:rPr>
              <w:t xml:space="preserve">Er waren steeds twee onderwerpen die aandacht vroegen: gemeenschapsvoorzieningen en de uitvoering van ruimtevragen van burgers. In een apart traject wordt gekeken naar beleid met betrekking tot de gemeenschapsvoorzieningen. </w:t>
            </w:r>
            <w:r>
              <w:rPr>
                <w:noProof w:val="0"/>
              </w:rPr>
              <w:t>In het raadsvoorstel (en bijhorende notitie) is voorzien in duidelijkheid over de uitvoering van ruimtevragen.</w:t>
            </w:r>
          </w:p>
        </w:tc>
      </w:tr>
      <w:tr w:rsidR="001E4FBE" w:rsidTr="00C7604D">
        <w:tc>
          <w:tcPr>
            <w:tcW w:w="2519" w:type="dxa"/>
            <w:tcBorders>
              <w:top w:val="single" w:sz="4" w:space="0" w:color="D9D9D9"/>
              <w:left w:val="single" w:sz="4" w:space="0" w:color="auto"/>
              <w:bottom w:val="single" w:sz="4" w:space="0" w:color="auto"/>
              <w:right w:val="single" w:sz="4" w:space="0" w:color="auto"/>
            </w:tcBorders>
            <w:hideMark/>
          </w:tcPr>
          <w:p w:rsidR="001E4FBE" w:rsidRPr="00200139" w:rsidRDefault="001E4FBE" w:rsidP="00F26559">
            <w:pPr>
              <w:rPr>
                <w:rFonts w:eastAsia="Calibri"/>
                <w:noProof w:val="0"/>
                <w:lang w:eastAsia="en-US"/>
              </w:rPr>
            </w:pPr>
            <w:r w:rsidRPr="00200139">
              <w:rPr>
                <w:rFonts w:eastAsia="Calibri"/>
                <w:noProof w:val="0"/>
                <w:lang w:eastAsia="en-US"/>
              </w:rPr>
              <w:lastRenderedPageBreak/>
              <w:t>Van de raadsleden wordt gevraagd</w:t>
            </w:r>
          </w:p>
        </w:tc>
        <w:tc>
          <w:tcPr>
            <w:tcW w:w="7231" w:type="dxa"/>
            <w:tcBorders>
              <w:top w:val="single" w:sz="4" w:space="0" w:color="D9D9D9"/>
              <w:left w:val="single" w:sz="4" w:space="0" w:color="auto"/>
              <w:bottom w:val="single" w:sz="4" w:space="0" w:color="auto"/>
              <w:right w:val="single" w:sz="4" w:space="0" w:color="auto"/>
            </w:tcBorders>
          </w:tcPr>
          <w:p w:rsidR="001E4FBE" w:rsidRPr="00200139" w:rsidRDefault="00ED1B4E" w:rsidP="00F26559">
            <w:pPr>
              <w:rPr>
                <w:rFonts w:eastAsia="Calibri"/>
                <w:noProof w:val="0"/>
                <w:lang w:eastAsia="en-US"/>
              </w:rPr>
            </w:pPr>
            <w:r>
              <w:rPr>
                <w:rFonts w:eastAsia="Calibri"/>
                <w:noProof w:val="0"/>
                <w:lang w:eastAsia="en-US"/>
              </w:rPr>
              <w:t>Besluitvorming voor te bereiden</w:t>
            </w:r>
          </w:p>
        </w:tc>
      </w:tr>
      <w:tr w:rsidR="00D14E1D" w:rsidTr="00C7604D">
        <w:trPr>
          <w:trHeight w:val="310"/>
        </w:trPr>
        <w:tc>
          <w:tcPr>
            <w:tcW w:w="2519" w:type="dxa"/>
            <w:tcBorders>
              <w:top w:val="single" w:sz="4" w:space="0" w:color="auto"/>
              <w:left w:val="single" w:sz="4" w:space="0" w:color="auto"/>
              <w:bottom w:val="single" w:sz="4" w:space="0" w:color="auto"/>
              <w:right w:val="single" w:sz="4" w:space="0" w:color="auto"/>
            </w:tcBorders>
          </w:tcPr>
          <w:p w:rsidR="00D14E1D" w:rsidRPr="00200139" w:rsidRDefault="00D14E1D" w:rsidP="00F26559">
            <w:pPr>
              <w:rPr>
                <w:rFonts w:eastAsia="Calibri"/>
                <w:noProof w:val="0"/>
                <w:lang w:eastAsia="en-US"/>
              </w:rPr>
            </w:pPr>
            <w:r w:rsidRPr="00200139">
              <w:rPr>
                <w:rFonts w:eastAsia="Calibri"/>
                <w:noProof w:val="0"/>
                <w:lang w:eastAsia="en-US"/>
              </w:rPr>
              <w:t>Vervolgtraject</w:t>
            </w:r>
          </w:p>
        </w:tc>
        <w:tc>
          <w:tcPr>
            <w:tcW w:w="7231" w:type="dxa"/>
            <w:tcBorders>
              <w:top w:val="single" w:sz="4" w:space="0" w:color="auto"/>
              <w:left w:val="single" w:sz="4" w:space="0" w:color="auto"/>
              <w:bottom w:val="single" w:sz="4" w:space="0" w:color="auto"/>
              <w:right w:val="single" w:sz="4" w:space="0" w:color="auto"/>
            </w:tcBorders>
          </w:tcPr>
          <w:p w:rsidR="00D14E1D" w:rsidRPr="00200139" w:rsidRDefault="00ED1B4E" w:rsidP="00F26559">
            <w:pPr>
              <w:rPr>
                <w:rFonts w:eastAsia="Calibri"/>
                <w:noProof w:val="0"/>
                <w:lang w:eastAsia="en-US"/>
              </w:rPr>
            </w:pPr>
            <w:r>
              <w:rPr>
                <w:rFonts w:eastAsia="Calibri"/>
                <w:noProof w:val="0"/>
                <w:lang w:eastAsia="en-US"/>
              </w:rPr>
              <w:t>In 2017 is gestart met het opstellen van het beleidsdocument gemeenschapsvoorzieningen. Dit zal in 2017 de politieke procedure doorlopen. In besluitvorming rondom het Accommodatiebeleid zal dit buiten beschouwing blijven.</w:t>
            </w:r>
          </w:p>
        </w:tc>
      </w:tr>
    </w:tbl>
    <w:p w:rsidR="00BA58E8" w:rsidRDefault="00BA58E8">
      <w:pPr>
        <w:rPr>
          <w:noProof w:val="0"/>
        </w:rPr>
      </w:pPr>
    </w:p>
    <w:sectPr w:rsidR="00BA58E8" w:rsidSect="00B94FD4">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9E5" w:rsidRDefault="00D269E5" w:rsidP="007C4958">
      <w:pPr>
        <w:spacing w:after="0"/>
      </w:pPr>
      <w:r>
        <w:separator/>
      </w:r>
    </w:p>
  </w:endnote>
  <w:endnote w:type="continuationSeparator" w:id="0">
    <w:p w:rsidR="00D269E5" w:rsidRDefault="00D269E5" w:rsidP="007C49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9E5" w:rsidRDefault="00D269E5" w:rsidP="007C4958">
      <w:pPr>
        <w:spacing w:after="0"/>
      </w:pPr>
      <w:r>
        <w:separator/>
      </w:r>
    </w:p>
  </w:footnote>
  <w:footnote w:type="continuationSeparator" w:id="0">
    <w:p w:rsidR="00D269E5" w:rsidRDefault="00D269E5" w:rsidP="007C49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958" w:rsidRDefault="007C4958">
    <w:pPr>
      <w:pStyle w:val="Koptekst"/>
    </w:pPr>
  </w:p>
  <w:p w:rsidR="007C4958" w:rsidRDefault="007C4958">
    <w:pPr>
      <w:pStyle w:val="Koptekst"/>
    </w:pPr>
  </w:p>
  <w:p w:rsidR="007C4958" w:rsidRDefault="007C4958">
    <w:pPr>
      <w:pStyle w:val="Koptekst"/>
    </w:pPr>
  </w:p>
  <w:p w:rsidR="007C4958" w:rsidRDefault="007C4958">
    <w:pPr>
      <w:pStyle w:val="Koptekst"/>
    </w:pPr>
  </w:p>
  <w:p w:rsidR="007C4958" w:rsidRDefault="00B01698">
    <w:pPr>
      <w:pStyle w:val="Koptekst"/>
    </w:pPr>
    <w:r>
      <w:rPr>
        <w:noProof/>
      </w:rPr>
      <w:drawing>
        <wp:anchor distT="0" distB="0" distL="114300" distR="114300" simplePos="0" relativeHeight="251657728" behindDoc="0" locked="0" layoutInCell="1" allowOverlap="1">
          <wp:simplePos x="0" y="0"/>
          <wp:positionH relativeFrom="page">
            <wp:posOffset>288290</wp:posOffset>
          </wp:positionH>
          <wp:positionV relativeFrom="page">
            <wp:posOffset>450215</wp:posOffset>
          </wp:positionV>
          <wp:extent cx="3571875" cy="1228725"/>
          <wp:effectExtent l="19050" t="0" r="9525" b="0"/>
          <wp:wrapSquare wrapText="bothSides"/>
          <wp:docPr id="1" name="Afbeelding 2" descr="1-Gemeenteraad-POS_2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Gemeenteraad-POS_2CMYK"/>
                  <pic:cNvPicPr>
                    <a:picLocks noChangeAspect="1" noChangeArrowheads="1"/>
                  </pic:cNvPicPr>
                </pic:nvPicPr>
                <pic:blipFill>
                  <a:blip r:embed="rId1">
                    <a:grayscl/>
                  </a:blip>
                  <a:srcRect/>
                  <a:stretch>
                    <a:fillRect/>
                  </a:stretch>
                </pic:blipFill>
                <pic:spPr bwMode="auto">
                  <a:xfrm>
                    <a:off x="0" y="0"/>
                    <a:ext cx="3571875" cy="12287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rsids>
    <w:rsidRoot w:val="00AC13B2"/>
    <w:rsid w:val="000319E1"/>
    <w:rsid w:val="00033901"/>
    <w:rsid w:val="00061620"/>
    <w:rsid w:val="00063003"/>
    <w:rsid w:val="00063C3F"/>
    <w:rsid w:val="00072D0E"/>
    <w:rsid w:val="00095C6B"/>
    <w:rsid w:val="000A6C02"/>
    <w:rsid w:val="000B6200"/>
    <w:rsid w:val="000B71EA"/>
    <w:rsid w:val="000D2896"/>
    <w:rsid w:val="000D3CF0"/>
    <w:rsid w:val="000F4C9B"/>
    <w:rsid w:val="00195141"/>
    <w:rsid w:val="001E4FBE"/>
    <w:rsid w:val="001F005D"/>
    <w:rsid w:val="001F0975"/>
    <w:rsid w:val="001F22A9"/>
    <w:rsid w:val="00200139"/>
    <w:rsid w:val="002137E3"/>
    <w:rsid w:val="0026570E"/>
    <w:rsid w:val="00267441"/>
    <w:rsid w:val="002976EA"/>
    <w:rsid w:val="002F6E87"/>
    <w:rsid w:val="003219C4"/>
    <w:rsid w:val="00323C5C"/>
    <w:rsid w:val="00342683"/>
    <w:rsid w:val="003559D1"/>
    <w:rsid w:val="003766DA"/>
    <w:rsid w:val="003A69C1"/>
    <w:rsid w:val="003B5BE6"/>
    <w:rsid w:val="00430CF8"/>
    <w:rsid w:val="00486D97"/>
    <w:rsid w:val="004A6F3B"/>
    <w:rsid w:val="004B1DB5"/>
    <w:rsid w:val="004C4F5D"/>
    <w:rsid w:val="004D194D"/>
    <w:rsid w:val="004F21F5"/>
    <w:rsid w:val="004F7B0D"/>
    <w:rsid w:val="00526CAF"/>
    <w:rsid w:val="00541C19"/>
    <w:rsid w:val="005542F8"/>
    <w:rsid w:val="00565A08"/>
    <w:rsid w:val="00594329"/>
    <w:rsid w:val="005A473E"/>
    <w:rsid w:val="005C668A"/>
    <w:rsid w:val="005E6517"/>
    <w:rsid w:val="005F0216"/>
    <w:rsid w:val="00617BBF"/>
    <w:rsid w:val="006855C4"/>
    <w:rsid w:val="006E3ADD"/>
    <w:rsid w:val="006E5CB6"/>
    <w:rsid w:val="00717C83"/>
    <w:rsid w:val="00721020"/>
    <w:rsid w:val="00792C5C"/>
    <w:rsid w:val="007C4958"/>
    <w:rsid w:val="007D7793"/>
    <w:rsid w:val="007F273B"/>
    <w:rsid w:val="00804094"/>
    <w:rsid w:val="00826B14"/>
    <w:rsid w:val="00830710"/>
    <w:rsid w:val="008445CE"/>
    <w:rsid w:val="00861685"/>
    <w:rsid w:val="00885339"/>
    <w:rsid w:val="009638C4"/>
    <w:rsid w:val="00971A48"/>
    <w:rsid w:val="009C0227"/>
    <w:rsid w:val="00A11D97"/>
    <w:rsid w:val="00AB4B58"/>
    <w:rsid w:val="00AC13B2"/>
    <w:rsid w:val="00B01698"/>
    <w:rsid w:val="00B20B63"/>
    <w:rsid w:val="00B33BCC"/>
    <w:rsid w:val="00B34A75"/>
    <w:rsid w:val="00B94FD4"/>
    <w:rsid w:val="00BA58E8"/>
    <w:rsid w:val="00BD523D"/>
    <w:rsid w:val="00BD5CCF"/>
    <w:rsid w:val="00BE7066"/>
    <w:rsid w:val="00BF1A52"/>
    <w:rsid w:val="00C13F11"/>
    <w:rsid w:val="00C20780"/>
    <w:rsid w:val="00C214EA"/>
    <w:rsid w:val="00C52DDA"/>
    <w:rsid w:val="00C57CE0"/>
    <w:rsid w:val="00C73CE1"/>
    <w:rsid w:val="00C7604D"/>
    <w:rsid w:val="00D033FE"/>
    <w:rsid w:val="00D13A11"/>
    <w:rsid w:val="00D14E1D"/>
    <w:rsid w:val="00D269E5"/>
    <w:rsid w:val="00D33C2C"/>
    <w:rsid w:val="00D42A60"/>
    <w:rsid w:val="00D42AEC"/>
    <w:rsid w:val="00D85510"/>
    <w:rsid w:val="00D8615E"/>
    <w:rsid w:val="00DF023A"/>
    <w:rsid w:val="00E10569"/>
    <w:rsid w:val="00E37948"/>
    <w:rsid w:val="00E47244"/>
    <w:rsid w:val="00E5676D"/>
    <w:rsid w:val="00E62648"/>
    <w:rsid w:val="00ED1B4E"/>
    <w:rsid w:val="00EE23FC"/>
    <w:rsid w:val="00EE5F9B"/>
    <w:rsid w:val="00EE6D74"/>
    <w:rsid w:val="00EF6220"/>
    <w:rsid w:val="00F233BE"/>
    <w:rsid w:val="00F26559"/>
    <w:rsid w:val="00F6408E"/>
    <w:rsid w:val="00F858B6"/>
    <w:rsid w:val="00FA3C9D"/>
    <w:rsid w:val="00FF674E"/>
    <w:rsid w:val="00FF6DC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2A60"/>
    <w:pPr>
      <w:spacing w:after="120"/>
    </w:pPr>
    <w:rPr>
      <w:rFonts w:ascii="Arial" w:hAnsi="Arial"/>
      <w:noProof/>
      <w:szCs w:val="24"/>
    </w:rPr>
  </w:style>
  <w:style w:type="paragraph" w:styleId="Kop1">
    <w:name w:val="heading 1"/>
    <w:basedOn w:val="Standaard"/>
    <w:next w:val="Standaard"/>
    <w:link w:val="Kop1Char"/>
    <w:qFormat/>
    <w:rsid w:val="000319E1"/>
    <w:pPr>
      <w:keepNext/>
      <w:outlineLvl w:val="0"/>
    </w:pPr>
    <w:rPr>
      <w:noProof w:val="0"/>
      <w:u w:val="single"/>
    </w:rPr>
  </w:style>
  <w:style w:type="paragraph" w:styleId="Kop2">
    <w:name w:val="heading 2"/>
    <w:basedOn w:val="Standaard"/>
    <w:next w:val="Standaard"/>
    <w:link w:val="Kop2Char"/>
    <w:qFormat/>
    <w:rsid w:val="000319E1"/>
    <w:pPr>
      <w:keepNext/>
      <w:outlineLvl w:val="1"/>
    </w:pPr>
    <w:rPr>
      <w:b/>
      <w:bCs/>
      <w:noProof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0319E1"/>
    <w:rPr>
      <w:rFonts w:ascii="Arial" w:eastAsia="Times New Roman" w:hAnsi="Arial" w:cs="Times New Roman"/>
      <w:szCs w:val="24"/>
      <w:u w:val="single"/>
      <w:lang w:eastAsia="nl-NL"/>
    </w:rPr>
  </w:style>
  <w:style w:type="character" w:customStyle="1" w:styleId="Kop2Char">
    <w:name w:val="Kop 2 Char"/>
    <w:link w:val="Kop2"/>
    <w:rsid w:val="000319E1"/>
    <w:rPr>
      <w:rFonts w:ascii="Arial" w:eastAsia="Times New Roman" w:hAnsi="Arial" w:cs="Arial"/>
      <w:b/>
      <w:bCs/>
      <w:szCs w:val="20"/>
      <w:lang w:eastAsia="nl-NL"/>
    </w:rPr>
  </w:style>
  <w:style w:type="paragraph" w:styleId="Koptekst">
    <w:name w:val="header"/>
    <w:basedOn w:val="Standaard"/>
    <w:link w:val="KoptekstChar"/>
    <w:rsid w:val="000319E1"/>
    <w:pPr>
      <w:tabs>
        <w:tab w:val="center" w:pos="4536"/>
        <w:tab w:val="right" w:pos="9072"/>
      </w:tabs>
    </w:pPr>
    <w:rPr>
      <w:noProof w:val="0"/>
      <w:szCs w:val="20"/>
    </w:rPr>
  </w:style>
  <w:style w:type="character" w:customStyle="1" w:styleId="KoptekstChar">
    <w:name w:val="Koptekst Char"/>
    <w:link w:val="Koptekst"/>
    <w:rsid w:val="000319E1"/>
    <w:rPr>
      <w:rFonts w:ascii="Arial" w:eastAsia="Times New Roman" w:hAnsi="Arial" w:cs="Times New Roman"/>
      <w:szCs w:val="20"/>
      <w:lang w:eastAsia="nl-NL"/>
    </w:rPr>
  </w:style>
  <w:style w:type="table" w:styleId="Tabelraster">
    <w:name w:val="Table Grid"/>
    <w:basedOn w:val="Standaardtabel"/>
    <w:rsid w:val="000319E1"/>
    <w:pPr>
      <w:spacing w:line="26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Char"/>
    <w:rsid w:val="000319E1"/>
    <w:pPr>
      <w:tabs>
        <w:tab w:val="center" w:pos="4536"/>
        <w:tab w:val="right" w:pos="9072"/>
      </w:tabs>
    </w:pPr>
    <w:rPr>
      <w:noProof w:val="0"/>
      <w:sz w:val="16"/>
      <w:szCs w:val="20"/>
    </w:rPr>
  </w:style>
  <w:style w:type="character" w:customStyle="1" w:styleId="VoettekstChar">
    <w:name w:val="Voettekst Char"/>
    <w:link w:val="Voettekst"/>
    <w:rsid w:val="000319E1"/>
    <w:rPr>
      <w:rFonts w:ascii="Arial" w:eastAsia="Times New Roman" w:hAnsi="Arial" w:cs="Times New Roman"/>
      <w:sz w:val="16"/>
      <w:szCs w:val="20"/>
      <w:lang w:eastAsia="nl-NL"/>
    </w:rPr>
  </w:style>
  <w:style w:type="paragraph" w:customStyle="1" w:styleId="voettekst0">
    <w:name w:val="voettekst"/>
    <w:basedOn w:val="Standaard"/>
    <w:rsid w:val="000319E1"/>
    <w:pPr>
      <w:tabs>
        <w:tab w:val="left" w:pos="4536"/>
        <w:tab w:val="right" w:pos="5954"/>
        <w:tab w:val="right" w:pos="9354"/>
      </w:tabs>
    </w:pPr>
    <w:rPr>
      <w:sz w:val="16"/>
      <w:lang w:eastAsia="en-US"/>
    </w:rPr>
  </w:style>
  <w:style w:type="paragraph" w:styleId="Lijstalinea">
    <w:name w:val="List Paragraph"/>
    <w:basedOn w:val="Standaard"/>
    <w:uiPriority w:val="34"/>
    <w:qFormat/>
    <w:rsid w:val="001E4FBE"/>
    <w:pPr>
      <w:spacing w:after="200" w:line="276" w:lineRule="auto"/>
      <w:ind w:left="720"/>
      <w:contextualSpacing/>
    </w:pPr>
    <w:rPr>
      <w:rFonts w:ascii="Calibri" w:eastAsia="Calibri" w:hAnsi="Calibri"/>
      <w:noProof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464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3395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SmartDocuments</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 In de Braek</dc:creator>
  <cp:lastModifiedBy>LJLMGMourmans</cp:lastModifiedBy>
  <cp:revision>2</cp:revision>
  <dcterms:created xsi:type="dcterms:W3CDTF">2017-06-15T09:28:00Z</dcterms:created>
  <dcterms:modified xsi:type="dcterms:W3CDTF">2017-06-15T09:28:00Z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eigenschap">
    <vt:lpwstr>afdr_direct</vt:lpwstr>
  </property>
</Properties>
</file>